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91" w:line="219" w:lineRule="auto"/>
        <w:outlineLvl w:val="0"/>
        <w:jc w:val="right"/>
        <w:rPr>
          <w:rFonts w:ascii="SimSun" w:hAnsi="SimSun" w:eastAsia="SimSun" w:cs="SimSun"/>
          <w:sz w:val="97"/>
          <w:szCs w:val="97"/>
        </w:rPr>
      </w:pPr>
      <w:r>
        <w:rPr>
          <w:rFonts w:ascii="SimSun" w:hAnsi="SimSun" w:eastAsia="SimSun" w:cs="SimSun"/>
          <w:sz w:val="97"/>
          <w:szCs w:val="97"/>
          <w:b/>
          <w:bCs/>
          <w:u w:val="single" w:color="FF0000"/>
          <w:color w:val="EA0700"/>
          <w:spacing w:val="-125"/>
          <w:w w:val="95"/>
        </w:rPr>
        <w:t>巴中市</w:t>
      </w:r>
      <w:r>
        <w:rPr>
          <w:rFonts w:ascii="SimSun" w:hAnsi="SimSun" w:eastAsia="SimSun" w:cs="SimSun"/>
          <w:sz w:val="97"/>
          <w:szCs w:val="97"/>
          <w:b/>
          <w:bCs/>
          <w:u w:val="single" w:color="FF0000"/>
          <w:color w:val="EA0700"/>
          <w:spacing w:val="-124"/>
          <w:w w:val="95"/>
        </w:rPr>
        <w:t>恩阳区投资促进</w:t>
      </w:r>
      <w:r>
        <w:rPr>
          <w:rFonts w:ascii="SimSun" w:hAnsi="SimSun" w:eastAsia="SimSun" w:cs="SimSun"/>
          <w:sz w:val="97"/>
          <w:szCs w:val="97"/>
          <w:b/>
          <w:bCs/>
          <w:u w:val="single" w:color="FF0000"/>
          <w:color w:val="EA0700"/>
          <w:spacing w:val="-88"/>
          <w:w w:val="95"/>
        </w:rPr>
        <w:t>局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386"/>
        <w:spacing w:before="156" w:line="212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4"/>
        </w:rPr>
        <w:t>巴中市恩阳区投资促进局</w:t>
      </w:r>
    </w:p>
    <w:p>
      <w:pPr>
        <w:ind w:left="316"/>
        <w:spacing w:before="1" w:line="218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1"/>
        </w:rPr>
        <w:t>关于区政协三届四次会议第4号建议答复的函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117" w:line="223" w:lineRule="auto"/>
        <w:rPr/>
      </w:pPr>
      <w:r>
        <w:rPr>
          <w:spacing w:val="-38"/>
        </w:rPr>
        <w:t>李明猛委员：</w:t>
      </w:r>
    </w:p>
    <w:p>
      <w:pPr>
        <w:pStyle w:val="BodyText"/>
        <w:ind w:left="309" w:right="190" w:firstLine="649"/>
        <w:spacing w:before="148" w:line="272" w:lineRule="auto"/>
        <w:jc w:val="both"/>
        <w:rPr/>
      </w:pPr>
      <w:r>
        <w:rPr>
          <w:spacing w:val="-27"/>
        </w:rPr>
        <w:t>您提出的《关于持续承接产业转移的建议》(第</w:t>
      </w:r>
      <w:r>
        <w:rPr>
          <w:spacing w:val="-28"/>
        </w:rPr>
        <w:t>4号提案)</w:t>
      </w:r>
      <w:r>
        <w:rPr/>
        <w:t xml:space="preserve"> </w:t>
      </w:r>
      <w:r>
        <w:rPr>
          <w:spacing w:val="-43"/>
        </w:rPr>
        <w:t>已收悉，感谢您对恩阳区产业发展的关心和支持。我局对您的提</w:t>
      </w:r>
      <w:r>
        <w:rPr>
          <w:spacing w:val="16"/>
        </w:rPr>
        <w:t xml:space="preserve"> </w:t>
      </w:r>
      <w:r>
        <w:rPr>
          <w:spacing w:val="-42"/>
        </w:rPr>
        <w:t>案高度重视，进行了认真研究和办理，现将有关工作报告如下：</w:t>
      </w:r>
    </w:p>
    <w:p>
      <w:pPr>
        <w:pStyle w:val="BodyText"/>
        <w:ind w:left="309" w:right="100" w:firstLine="655"/>
        <w:spacing w:before="79" w:line="273" w:lineRule="auto"/>
        <w:rPr/>
      </w:pPr>
      <w:r>
        <w:rPr>
          <w:b/>
          <w:bCs/>
          <w:spacing w:val="-47"/>
        </w:rPr>
        <w:t>一、</w:t>
      </w:r>
      <w:r>
        <w:rPr>
          <w:rFonts w:ascii="SimHei" w:hAnsi="SimHei" w:eastAsia="SimHei" w:cs="SimHei"/>
          <w:b/>
          <w:bCs/>
          <w:spacing w:val="-47"/>
        </w:rPr>
        <w:t>健全组织领导</w:t>
      </w:r>
      <w:r>
        <w:rPr>
          <w:b/>
          <w:bCs/>
          <w:spacing w:val="-47"/>
        </w:rPr>
        <w:t>。</w:t>
      </w:r>
      <w:r>
        <w:rPr>
          <w:spacing w:val="-47"/>
        </w:rPr>
        <w:t>坚持把承接产业转移工作纳入区开放合</w:t>
      </w:r>
      <w:r>
        <w:rPr>
          <w:spacing w:val="4"/>
        </w:rPr>
        <w:t xml:space="preserve">  </w:t>
      </w:r>
      <w:r>
        <w:rPr>
          <w:spacing w:val="-52"/>
        </w:rPr>
        <w:t>作领导小组重要议事日程，围绕“4+2”产业体</w:t>
      </w:r>
      <w:r>
        <w:rPr>
          <w:spacing w:val="-53"/>
        </w:rPr>
        <w:t>系，组建食品饮料、</w:t>
      </w:r>
      <w:r>
        <w:rPr/>
        <w:t xml:space="preserve"> </w:t>
      </w:r>
      <w:r>
        <w:rPr>
          <w:spacing w:val="-50"/>
        </w:rPr>
        <w:t>电子信息、先进材料、医药健康、文旅康养、商贸物流产业链办，</w:t>
      </w:r>
      <w:r>
        <w:rPr>
          <w:spacing w:val="9"/>
        </w:rPr>
        <w:t xml:space="preserve"> </w:t>
      </w:r>
      <w:r>
        <w:rPr>
          <w:spacing w:val="-39"/>
        </w:rPr>
        <w:t>细化目标任务，重点研究解决承接产业转移工作中的重大事项，</w:t>
      </w:r>
      <w:r>
        <w:rPr>
          <w:spacing w:val="11"/>
        </w:rPr>
        <w:t xml:space="preserve"> </w:t>
      </w:r>
      <w:r>
        <w:rPr>
          <w:spacing w:val="-45"/>
        </w:rPr>
        <w:t>充分发挥恩阳优势，打造承接东部产业转移平台，推动经济社会</w:t>
      </w:r>
      <w:r>
        <w:rPr>
          <w:spacing w:val="9"/>
        </w:rPr>
        <w:t xml:space="preserve">  </w:t>
      </w:r>
      <w:r>
        <w:rPr>
          <w:spacing w:val="-38"/>
        </w:rPr>
        <w:t>高质量发展。</w:t>
      </w:r>
    </w:p>
    <w:p>
      <w:pPr>
        <w:pStyle w:val="BodyText"/>
        <w:ind w:left="309" w:right="236" w:firstLine="655"/>
        <w:spacing w:before="155" w:line="274" w:lineRule="auto"/>
        <w:rPr/>
      </w:pPr>
      <w:r>
        <w:rPr>
          <w:b/>
          <w:bCs/>
          <w:spacing w:val="-46"/>
        </w:rPr>
        <w:t>二、</w:t>
      </w:r>
      <w:r>
        <w:rPr>
          <w:rFonts w:ascii="SimHei" w:hAnsi="SimHei" w:eastAsia="SimHei" w:cs="SimHei"/>
          <w:b/>
          <w:bCs/>
          <w:spacing w:val="-46"/>
        </w:rPr>
        <w:t>明确产业重点</w:t>
      </w:r>
      <w:r>
        <w:rPr>
          <w:b/>
          <w:bCs/>
          <w:spacing w:val="-46"/>
        </w:rPr>
        <w:t>。</w:t>
      </w:r>
      <w:r>
        <w:rPr>
          <w:spacing w:val="-46"/>
        </w:rPr>
        <w:t>依托我区资源禀赋、产业</w:t>
      </w:r>
      <w:r>
        <w:rPr>
          <w:spacing w:val="-47"/>
        </w:rPr>
        <w:t>基础，制定重</w:t>
      </w:r>
      <w:r>
        <w:rPr/>
        <w:t xml:space="preserve"> </w:t>
      </w:r>
      <w:r>
        <w:rPr>
          <w:spacing w:val="-37"/>
        </w:rPr>
        <w:t>点承接产业引导目录，策划包装产业项目426个，精心制作产业</w:t>
      </w:r>
      <w:r>
        <w:rPr>
          <w:spacing w:val="13"/>
        </w:rPr>
        <w:t xml:space="preserve"> </w:t>
      </w:r>
      <w:r>
        <w:rPr>
          <w:spacing w:val="-24"/>
        </w:rPr>
        <w:t>招商图谱、招商专案、推介</w:t>
      </w:r>
      <w:r>
        <w:rPr>
          <w:rFonts w:ascii="SimSun" w:hAnsi="SimSun" w:eastAsia="SimSun" w:cs="SimSun"/>
          <w:spacing w:val="-24"/>
        </w:rPr>
        <w:t>PPT,</w:t>
      </w:r>
      <w:r>
        <w:rPr>
          <w:spacing w:val="-24"/>
        </w:rPr>
        <w:t>动态更新《投资指南》,让投</w:t>
      </w:r>
      <w:r>
        <w:rPr>
          <w:spacing w:val="18"/>
        </w:rPr>
        <w:t xml:space="preserve"> </w:t>
      </w:r>
      <w:r>
        <w:rPr>
          <w:spacing w:val="-38"/>
        </w:rPr>
        <w:t>资商“看单点菜”,招商人员“按图索骥”。今年以来，全区签</w:t>
      </w:r>
      <w:r>
        <w:rPr>
          <w:spacing w:val="4"/>
        </w:rPr>
        <w:t xml:space="preserve"> </w:t>
      </w:r>
      <w:r>
        <w:rPr>
          <w:spacing w:val="-44"/>
        </w:rPr>
        <w:t>约协鑫光伏、储能项目合作开发项目、易事特西</w:t>
      </w:r>
      <w:r>
        <w:rPr>
          <w:spacing w:val="-45"/>
        </w:rPr>
        <w:t>南区域新能源研</w:t>
      </w:r>
      <w:r>
        <w:rPr/>
        <w:t xml:space="preserve"> </w:t>
      </w:r>
      <w:r>
        <w:rPr>
          <w:spacing w:val="-38"/>
        </w:rPr>
        <w:t>发制造基地项目、中企中誉巴山肉牛+生物科技全产业链建设项</w:t>
      </w:r>
      <w:r>
        <w:rPr>
          <w:spacing w:val="6"/>
        </w:rPr>
        <w:t xml:space="preserve"> </w:t>
      </w:r>
      <w:r>
        <w:rPr>
          <w:spacing w:val="-20"/>
        </w:rPr>
        <w:t>目等5个投资额达10亿元以上项目。</w:t>
      </w:r>
    </w:p>
    <w:p>
      <w:pPr>
        <w:spacing w:line="274" w:lineRule="auto"/>
        <w:sectPr>
          <w:footerReference w:type="default" r:id="rId1"/>
          <w:pgSz w:w="11900" w:h="16840"/>
          <w:pgMar w:top="1298" w:right="1299" w:bottom="1140" w:left="1190" w:header="0" w:footer="107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" w:firstLine="654"/>
        <w:spacing w:before="104" w:line="320" w:lineRule="auto"/>
        <w:jc w:val="both"/>
        <w:rPr>
          <w:sz w:val="32"/>
          <w:szCs w:val="32"/>
        </w:rPr>
      </w:pPr>
      <w:r>
        <w:rPr>
          <w:sz w:val="32"/>
          <w:szCs w:val="32"/>
          <w:b/>
          <w:bCs/>
          <w:spacing w:val="-8"/>
        </w:rPr>
        <w:t>三、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强化交流合作</w:t>
      </w:r>
      <w:r>
        <w:rPr>
          <w:sz w:val="32"/>
          <w:szCs w:val="32"/>
          <w:b/>
          <w:bCs/>
          <w:spacing w:val="-8"/>
        </w:rPr>
        <w:t>。</w:t>
      </w:r>
      <w:r>
        <w:rPr>
          <w:sz w:val="32"/>
          <w:szCs w:val="32"/>
          <w:spacing w:val="-8"/>
        </w:rPr>
        <w:t>今年以来，我局充分发挥职能优势，助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7"/>
        </w:rPr>
        <w:t>力与帮扶宜宾市、省商投集团、中建西部建设公司等建立合作关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6"/>
        </w:rPr>
        <w:t>系，构建多层次、多形式、全方位的帮扶协作机制，推动实施重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</w:rPr>
        <w:t>点帮扶项目8个，计划投入帮扶资金1.48亿元，已到位资金4150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-13"/>
        </w:rPr>
        <w:t>万元。同时，借助四川省西藏商会、四川省物流商会的</w:t>
      </w:r>
      <w:r>
        <w:rPr>
          <w:sz w:val="32"/>
          <w:szCs w:val="32"/>
          <w:spacing w:val="-14"/>
        </w:rPr>
        <w:t>市场资源，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向会员企业推送优质项目、合作事项35个，已签约合作协议1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-5"/>
        </w:rPr>
        <w:t>个；通过帮扶企业在成都、西藏、海南等地推介“</w:t>
      </w:r>
      <w:r>
        <w:rPr>
          <w:sz w:val="32"/>
          <w:szCs w:val="32"/>
          <w:spacing w:val="-6"/>
        </w:rPr>
        <w:t>恩阳产、恩阳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"/>
        </w:rPr>
        <w:t>造”产品4次，通过“天府优选”“京东电商”等平台销售恩阳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9"/>
        </w:rPr>
        <w:t>农特产品30万余元。</w:t>
      </w:r>
    </w:p>
    <w:p>
      <w:pPr>
        <w:pStyle w:val="BodyText"/>
        <w:ind w:left="40" w:right="91" w:firstLine="654"/>
        <w:spacing w:before="26" w:line="315" w:lineRule="auto"/>
        <w:jc w:val="both"/>
        <w:rPr>
          <w:sz w:val="32"/>
          <w:szCs w:val="32"/>
        </w:rPr>
      </w:pPr>
      <w:r>
        <w:rPr>
          <w:sz w:val="32"/>
          <w:szCs w:val="32"/>
          <w:b/>
          <w:bCs/>
          <w:spacing w:val="-1"/>
        </w:rPr>
        <w:t>四</w:t>
      </w:r>
      <w:r>
        <w:rPr>
          <w:sz w:val="32"/>
          <w:szCs w:val="32"/>
          <w:spacing w:val="-56"/>
        </w:rPr>
        <w:t xml:space="preserve"> </w:t>
      </w:r>
      <w:r>
        <w:rPr>
          <w:sz w:val="32"/>
          <w:szCs w:val="32"/>
          <w:b/>
          <w:bCs/>
          <w:spacing w:val="-1"/>
        </w:rPr>
        <w:t>、</w:t>
      </w: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强化督查考核。</w:t>
      </w:r>
      <w:r>
        <w:rPr>
          <w:sz w:val="32"/>
          <w:szCs w:val="32"/>
          <w:spacing w:val="-1"/>
        </w:rPr>
        <w:t>制定印发《2024年度区级领导、区级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部门、镇(街道)投资促进工作目标任务考评细则》《2024年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</w:rPr>
        <w:t>度驻点招商小分队投资促进工作目标任务考评细则》,把全年目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-6"/>
        </w:rPr>
        <w:t>标任务进一步细化分解，差异化设置各项任务指标，推动考核工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-8"/>
        </w:rPr>
        <w:t>作更加精准科学。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210" w:right="812" w:hanging="540"/>
        <w:spacing w:before="104" w:line="315" w:lineRule="auto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3352609</wp:posOffset>
            </wp:positionH>
            <wp:positionV relativeFrom="paragraph">
              <wp:posOffset>-384572</wp:posOffset>
            </wp:positionV>
            <wp:extent cx="1460730" cy="145482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730" cy="1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6"/>
        </w:rPr>
        <w:t>巴中市恩阳区投资促进局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37"/>
        </w:rPr>
        <w:t>2024年9月26日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107796</wp:posOffset>
            </wp:positionV>
            <wp:extent cx="5607073" cy="1261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073" cy="1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40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-41"/>
        </w:rPr>
        <w:t>抄送：区政协提案委、区政府办公室、区目标绩效办</w:t>
      </w:r>
    </w:p>
    <w:p>
      <w:pPr>
        <w:ind w:firstLine="9"/>
        <w:spacing w:before="54" w:line="20" w:lineRule="exact"/>
        <w:rPr/>
      </w:pPr>
      <w:r>
        <w:rPr/>
        <w:drawing>
          <wp:inline distT="0" distB="0" distL="0" distR="0">
            <wp:extent cx="5600726" cy="1272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26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40"/>
        <w:spacing w:before="105" w:line="217" w:lineRule="exact"/>
        <w:rPr>
          <w:rFonts w:ascii="SimSun" w:hAnsi="SimSun" w:eastAsia="SimSun" w:cs="SimSun"/>
          <w:sz w:val="32"/>
          <w:szCs w:val="32"/>
        </w:rPr>
      </w:pPr>
      <w:r>
        <w:pict>
          <v:shape id="_x0000_s2" style="position:absolute;margin-left:17.3252pt;margin-top:-0.764664pt;mso-position-vertical-relative:text;mso-position-horizontal-relative:text;width:9.2pt;height:17.9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2"/>
          <w:szCs w:val="32"/>
          <w:spacing w:val="-5"/>
          <w:position w:val="-5"/>
        </w:rPr>
        <w:t>—</w:t>
      </w:r>
      <w:r>
        <w:rPr>
          <w:rFonts w:ascii="SimSun" w:hAnsi="SimSun" w:eastAsia="SimSun" w:cs="SimSun"/>
          <w:sz w:val="32"/>
          <w:szCs w:val="32"/>
          <w:spacing w:val="9"/>
          <w:position w:val="-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  <w:position w:val="-5"/>
        </w:rPr>
        <w:t>—</w:t>
      </w:r>
    </w:p>
    <w:sectPr>
      <w:footerReference w:type="default" r:id="rId2"/>
      <w:pgSz w:w="11900" w:h="16840"/>
      <w:pgMar w:top="1431" w:right="1359" w:bottom="400" w:left="15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/>
    </w:pPr>
    <w:r>
      <w:rPr>
        <w:position w:val="-1"/>
      </w:rPr>
      <w:drawing>
        <wp:inline distT="0" distB="0" distL="0" distR="0">
          <wp:extent cx="5975377" cy="31824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75377" cy="3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2024-11-27T11:21:29Z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2024-11-27T11:21:29</vt:filetime>
  </property>
  <property fmtid="{D5CDD505-2E9C-101B-9397-08002B2CF9AE}" pid="4" name="UsrData">
    <vt:lpwstr>674690360959d00020b1e7f3wl</vt:lpwstr>
  </property>
</Properties>
</file>