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pStyle w:val="13"/>
        <w:rPr>
          <w:rFonts w:hint="eastAsia"/>
          <w:lang w:val="en-US" w:eastAsia="zh-CN"/>
        </w:rPr>
      </w:pPr>
    </w:p>
    <w:p>
      <w:pPr>
        <w:adjustRightInd w:val="0"/>
        <w:snapToGrid w:val="0"/>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恩区农函﹝20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pStyle w:val="2"/>
        <w:rPr>
          <w:rFonts w:hint="default"/>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巴中市恩阳区农业农村局</w:t>
      </w:r>
    </w:p>
    <w:p>
      <w:pPr>
        <w:keepNext w:val="0"/>
        <w:keepLines w:val="0"/>
        <w:pageBreakBefore w:val="0"/>
        <w:kinsoku/>
        <w:wordWrap/>
        <w:overflowPunct/>
        <w:topLinePunct w:val="0"/>
        <w:autoSpaceDE/>
        <w:autoSpaceDN/>
        <w:bidi w:val="0"/>
        <w:adjustRightInd/>
        <w:snapToGrid/>
        <w:spacing w:line="576" w:lineRule="exact"/>
        <w:ind w:left="0" w:leftChars="0" w:right="0" w:rightChars="0"/>
        <w:jc w:val="both"/>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关于区政协三届二次会议第</w:t>
      </w:r>
      <w:r>
        <w:rPr>
          <w:rFonts w:hint="eastAsia" w:ascii="方正小标宋_GBK" w:hAnsi="方正小标宋_GBK" w:eastAsia="方正小标宋_GBK" w:cs="方正小标宋_GBK"/>
          <w:sz w:val="44"/>
          <w:szCs w:val="44"/>
          <w:lang w:val="en-US" w:eastAsia="zh-CN"/>
        </w:rPr>
        <w:t>9号提案答复的函</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何邦泽</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委员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（民联联络组）：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你们</w:t>
      </w:r>
      <w:r>
        <w:rPr>
          <w:rFonts w:hint="default" w:ascii="Times New Roman" w:hAnsi="Times New Roman" w:eastAsia="方正仿宋_GBK" w:cs="Times New Roman"/>
          <w:color w:val="000000" w:themeColor="text1"/>
          <w:sz w:val="32"/>
          <w:szCs w:val="32"/>
          <w14:textFill>
            <w14:solidFill>
              <w14:schemeClr w14:val="tx1"/>
            </w14:solidFill>
          </w14:textFill>
        </w:rPr>
        <w:t>提出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关于振兴农村经济大力发展特色产业的建议</w:t>
      </w:r>
      <w:r>
        <w:rPr>
          <w:rFonts w:hint="default" w:ascii="Times New Roman" w:hAnsi="Times New Roman" w:eastAsia="方正仿宋_GBK" w:cs="Times New Roman"/>
          <w:color w:val="000000" w:themeColor="text1"/>
          <w:sz w:val="32"/>
          <w:szCs w:val="32"/>
          <w14:textFill>
            <w14:solidFill>
              <w14:schemeClr w14:val="tx1"/>
            </w14:solidFill>
          </w14:textFill>
        </w:rPr>
        <w:t>》（第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号提案）已收悉，现答复如下。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一、加强组织领导</w:t>
      </w:r>
    </w:p>
    <w:p>
      <w:pPr>
        <w:pStyle w:val="10"/>
        <w:keepNext w:val="0"/>
        <w:keepLines w:val="0"/>
        <w:pageBreakBefore w:val="0"/>
        <w:widowControl/>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成立以局长任组长，相关局属单位和科室负责人为成员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的振兴农村经济大力发展特色产业领导小组，</w:t>
      </w:r>
      <w:r>
        <w:rPr>
          <w:rFonts w:hint="default" w:ascii="Times New Roman" w:hAnsi="Times New Roman" w:eastAsia="方正仿宋_GBK" w:cs="Times New Roman"/>
          <w:color w:val="000000" w:themeColor="text1"/>
          <w:sz w:val="32"/>
          <w:szCs w:val="32"/>
          <w14:textFill>
            <w14:solidFill>
              <w14:schemeClr w14:val="tx1"/>
            </w14:solidFill>
          </w14:textFill>
        </w:rPr>
        <w:t>负责对此项工作的组织领导、统筹协调、督查督办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制定专门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推进</w:t>
      </w:r>
      <w:r>
        <w:rPr>
          <w:rFonts w:hint="default" w:ascii="Times New Roman" w:hAnsi="Times New Roman" w:eastAsia="方正仿宋_GBK" w:cs="Times New Roman"/>
          <w:color w:val="000000" w:themeColor="text1"/>
          <w:sz w:val="32"/>
          <w:szCs w:val="32"/>
          <w14:textFill>
            <w14:solidFill>
              <w14:schemeClr w14:val="tx1"/>
            </w14:solidFill>
          </w14:textFill>
        </w:rPr>
        <w:t>方案，细化时间接点，明确落实责任，定期汇报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振兴农村经济大力发展特色产业的建设进度</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596" w:firstLineChars="200"/>
        <w:textAlignment w:val="auto"/>
        <w:rPr>
          <w:rFonts w:hint="default" w:ascii="Times New Roman" w:hAnsi="Times New Roman" w:eastAsia="方正黑体_GBK" w:cs="Times New Roman"/>
          <w:color w:val="000000" w:themeColor="text1"/>
          <w:spacing w:val="-11"/>
          <w:sz w:val="32"/>
          <w:szCs w:val="32"/>
          <w:lang w:val="en-US" w:eastAsia="zh-CN"/>
          <w14:textFill>
            <w14:solidFill>
              <w14:schemeClr w14:val="tx1"/>
            </w14:solidFill>
          </w14:textFill>
        </w:rPr>
      </w:pPr>
      <w:r>
        <w:rPr>
          <w:rFonts w:hint="eastAsia" w:ascii="Times New Roman" w:hAnsi="Times New Roman" w:eastAsia="方正黑体_GBK" w:cs="Times New Roman"/>
          <w:color w:val="000000" w:themeColor="text1"/>
          <w:spacing w:val="-11"/>
          <w:sz w:val="32"/>
          <w:szCs w:val="32"/>
          <w:lang w:val="en-US" w:eastAsia="zh-CN"/>
          <w14:textFill>
            <w14:solidFill>
              <w14:schemeClr w14:val="tx1"/>
            </w14:solidFill>
          </w14:textFill>
        </w:rPr>
        <w:t>二、</w:t>
      </w:r>
      <w:r>
        <w:rPr>
          <w:rFonts w:hint="default" w:ascii="Times New Roman" w:hAnsi="Times New Roman" w:eastAsia="方正黑体_GBK" w:cs="Times New Roman"/>
          <w:color w:val="000000" w:themeColor="text1"/>
          <w:spacing w:val="-11"/>
          <w:sz w:val="32"/>
          <w:szCs w:val="32"/>
          <w:lang w:val="en-US" w:eastAsia="zh-CN"/>
          <w14:textFill>
            <w14:solidFill>
              <w14:schemeClr w14:val="tx1"/>
            </w14:solidFill>
          </w14:textFill>
        </w:rPr>
        <w:t>关于深刻认识区域农业基本情况，提升产业发展理念方面</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sectPr>
          <w:footerReference r:id="rId3" w:type="default"/>
          <w:pgSz w:w="11906" w:h="16838"/>
          <w:pgMar w:top="2098" w:right="1531" w:bottom="1814" w:left="1531" w:header="851" w:footer="992" w:gutter="0"/>
          <w:pgNumType w:fmt="decimal" w:start="1"/>
          <w:cols w:space="425" w:num="1"/>
          <w:docGrid w:type="lines" w:linePitch="312" w:charSpace="0"/>
        </w:sect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我区幅员面积达1177平方公里，辖区有15个镇，3个街道办事处，309个村（社区），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七人普中户籍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总人口</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，常住人口34万人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14:textFill>
            <w14:solidFill>
              <w14:schemeClr w14:val="tx1"/>
            </w14:solidFill>
          </w14:textFill>
        </w:rPr>
        <w:t>全区粮食播面9</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color w:val="000000" w:themeColor="text1"/>
          <w:sz w:val="32"/>
          <w:szCs w:val="32"/>
          <w14:textFill>
            <w14:solidFill>
              <w14:schemeClr w14:val="tx1"/>
            </w14:solidFill>
          </w14:textFill>
        </w:rPr>
        <w:t>万亩，种植芦笋、葡萄、川明参等果蔬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color w:val="000000" w:themeColor="text1"/>
          <w:sz w:val="32"/>
          <w:szCs w:val="32"/>
          <w14:textFill>
            <w14:solidFill>
              <w14:schemeClr w14:val="tx1"/>
            </w14:solidFill>
          </w14:textFill>
        </w:rPr>
        <w:t>万亩，创建市级现代农业园区2个，入列省级有机产品认证示范区。加快生猪产能恢复，出栏生猪46万头。实施蓝润生猪全产业链等重点工业项目1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个、完成投资27.5亿</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color w:val="000000" w:themeColor="text1"/>
          <w:sz w:val="32"/>
          <w:szCs w:val="32"/>
          <w14:textFill>
            <w14:solidFill>
              <w14:schemeClr w14:val="tx1"/>
            </w14:solidFill>
          </w14:textFill>
        </w:rPr>
        <w:t>元、同比增长15%，好彩头二期等8个项目竣工投产，恩阳食品工业园二期加快推进。商贸服务业加快发展，举办第八届巴人文化艺术节、“食在恩阳•味在古镇”等活动，全年实现文旅综合收入26.23亿元。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2021年</w:t>
      </w:r>
      <w:r>
        <w:rPr>
          <w:rFonts w:hint="default" w:ascii="Times New Roman" w:hAnsi="Times New Roman" w:eastAsia="方正仿宋_GBK" w:cs="Times New Roman"/>
          <w:color w:val="000000" w:themeColor="text1"/>
          <w:sz w:val="32"/>
          <w:szCs w:val="32"/>
          <w14:textFill>
            <w14:solidFill>
              <w14:schemeClr w14:val="tx1"/>
            </w14:solidFill>
          </w14:textFill>
        </w:rPr>
        <w:t>建成“田园恩阳”等示范园区4个，带动镇（街道）发展特色园区33个，新建高标准农田5.1万亩、产业道路70.6公里，发展道地药材、优质粮油、有机果蔬11.7万亩，粮油播面达到114.3万亩，全面完成生猪存栏、出栏任务，建成省三星级优质粮油现代农业园区1个，恩阳芦笋现代农业园区入选粤港澳大湾区“菜篮子”生产基地，恩阳区上榜全省高标准农田整区域推进示范单位。电子信息产业初具规模，建成临港产业园标准化厂房23万平方米，入驻智彤光学等电子信息企业8家、投产3家。食品加工产业夯基蓄势，签约落地高端肉制品深加工、100万头生猪屠宰等重大项目3个，蓝润生猪饲料厂、胡婆婆二期等项目加快推进。文旅康养产业突破发展，黄石国际旅游度假区项目加快建设，精心呈现五一“七开”、十一“开街”，成功打响“米仓古道第一镇·红色恩阳”品牌，全年接待游客380万人次，实现旅游综合收入31.2亿元。</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关于全区没有大型企业、中小型企业经济总量小的劣势，积极寻求发展新思路方面</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根据中共巴中市恩阳区委办公室巴中市恩阳区人民政府办公室关于印发《关于加快推进现代农业产业园区建设的实施意见》的通知，恩委办</w:t>
      </w:r>
      <w:r>
        <w:rPr>
          <w:rFonts w:hint="default" w:ascii="Times New Roman" w:hAnsi="Times New Roman" w:eastAsia="宋体"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2021</w:t>
      </w:r>
      <w:r>
        <w:rPr>
          <w:rFonts w:hint="default" w:ascii="Times New Roman" w:hAnsi="Times New Roman" w:eastAsia="宋体" w:cs="Times New Roman"/>
          <w:i w:val="0"/>
          <w:iCs w:val="0"/>
          <w:caps w:val="0"/>
          <w:color w:val="auto"/>
          <w:spacing w:val="0"/>
          <w:sz w:val="32"/>
          <w:szCs w:val="32"/>
          <w:shd w:val="clear" w:fill="FFFFFF"/>
          <w:lang w:val="en-US"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15号文件中明确规划引进和培育一批龙头企业，“建立园区+经营主体+农户”“龙头企业+基地+农户”运营机制，形成园区产业化联合体，提升主导农业产业集约化、规模化、标准化程度，引进了浙江的“四川好彩头食品有限公司”、“四川省巴中龙头食品有限公司”、大力发展本土“四川省胡婆婆有限责任公司”，补齐我区大中小型企业经济总量小的劣势。</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四、</w:t>
      </w:r>
      <w:r>
        <w:rPr>
          <w:rFonts w:hint="default" w:ascii="Times New Roman" w:hAnsi="Times New Roman" w:eastAsia="方正黑体_GBK" w:cs="Times New Roman"/>
          <w:color w:val="auto"/>
          <w:kern w:val="2"/>
          <w:sz w:val="32"/>
          <w:szCs w:val="32"/>
          <w:lang w:val="en-US" w:eastAsia="zh-CN" w:bidi="ar-SA"/>
        </w:rPr>
        <w:t>关于引导成功人事回乡创业方面。</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2022年我区总人口</w:t>
      </w:r>
      <w:r>
        <w:rPr>
          <w:rFonts w:hint="eastAsia" w:ascii="Times New Roman" w:hAnsi="Times New Roman" w:eastAsia="方正仿宋_GBK" w:cs="Times New Roman"/>
          <w:i w:val="0"/>
          <w:iCs w:val="0"/>
          <w:caps w:val="0"/>
          <w:color w:val="auto"/>
          <w:spacing w:val="0"/>
          <w:sz w:val="32"/>
          <w:szCs w:val="32"/>
          <w:shd w:val="clear" w:fill="FFFFFF"/>
          <w:lang w:val="en-US" w:eastAsia="zh-CN"/>
        </w:rPr>
        <w:t>49</w:t>
      </w:r>
      <w:r>
        <w:rPr>
          <w:rFonts w:hint="default" w:ascii="Times New Roman" w:hAnsi="Times New Roman" w:eastAsia="方正仿宋_GBK" w:cs="Times New Roman"/>
          <w:i w:val="0"/>
          <w:iCs w:val="0"/>
          <w:caps w:val="0"/>
          <w:color w:val="auto"/>
          <w:spacing w:val="0"/>
          <w:sz w:val="32"/>
          <w:szCs w:val="32"/>
          <w:shd w:val="clear" w:fill="FFFFFF"/>
          <w:lang w:val="en-US" w:eastAsia="zh-CN"/>
        </w:rPr>
        <w:t>万余人，但常住人口只有</w:t>
      </w:r>
      <w:r>
        <w:rPr>
          <w:rFonts w:hint="eastAsia" w:ascii="Times New Roman" w:hAnsi="Times New Roman" w:eastAsia="方正仿宋_GBK" w:cs="Times New Roman"/>
          <w:i w:val="0"/>
          <w:iCs w:val="0"/>
          <w:caps w:val="0"/>
          <w:color w:val="auto"/>
          <w:spacing w:val="0"/>
          <w:sz w:val="32"/>
          <w:szCs w:val="32"/>
          <w:shd w:val="clear" w:fill="FFFFFF"/>
          <w:lang w:val="en-US" w:eastAsia="zh-CN"/>
        </w:rPr>
        <w:t>34万</w:t>
      </w:r>
      <w:r>
        <w:rPr>
          <w:rFonts w:hint="default" w:ascii="Times New Roman" w:hAnsi="Times New Roman" w:eastAsia="方正仿宋_GBK" w:cs="Times New Roman"/>
          <w:i w:val="0"/>
          <w:iCs w:val="0"/>
          <w:caps w:val="0"/>
          <w:color w:val="auto"/>
          <w:spacing w:val="0"/>
          <w:sz w:val="32"/>
          <w:szCs w:val="32"/>
          <w:shd w:val="clear" w:fill="FFFFFF"/>
          <w:lang w:val="en-US" w:eastAsia="zh-CN"/>
        </w:rPr>
        <w:t>余人，约</w:t>
      </w:r>
      <w:r>
        <w:rPr>
          <w:rFonts w:hint="eastAsia" w:ascii="Times New Roman" w:hAnsi="Times New Roman" w:eastAsia="方正仿宋_GBK" w:cs="Times New Roman"/>
          <w:i w:val="0"/>
          <w:iCs w:val="0"/>
          <w:caps w:val="0"/>
          <w:color w:val="auto"/>
          <w:spacing w:val="0"/>
          <w:sz w:val="32"/>
          <w:szCs w:val="32"/>
          <w:shd w:val="clear" w:fill="FFFFFF"/>
          <w:lang w:val="en-US" w:eastAsia="zh-CN"/>
        </w:rPr>
        <w:t>15</w:t>
      </w:r>
      <w:r>
        <w:rPr>
          <w:rFonts w:hint="default" w:ascii="Times New Roman" w:hAnsi="Times New Roman" w:eastAsia="方正仿宋_GBK" w:cs="Times New Roman"/>
          <w:i w:val="0"/>
          <w:iCs w:val="0"/>
          <w:caps w:val="0"/>
          <w:color w:val="auto"/>
          <w:spacing w:val="0"/>
          <w:sz w:val="32"/>
          <w:szCs w:val="32"/>
          <w:shd w:val="clear" w:fill="FFFFFF"/>
          <w:lang w:val="en-US" w:eastAsia="zh-CN"/>
        </w:rPr>
        <w:t>万人外出务工，其中不乏成功人事企业家，为引进行业精英人才回乡创业，打响我区特色产业品牌，2021年我区举办了“秦巴</w:t>
      </w:r>
      <w:r>
        <w:rPr>
          <w:rFonts w:hint="eastAsia" w:ascii="Times New Roman" w:hAnsi="Times New Roman" w:eastAsia="方正仿宋_GBK" w:cs="Times New Roman"/>
          <w:i w:val="0"/>
          <w:iCs w:val="0"/>
          <w:caps w:val="0"/>
          <w:color w:val="auto"/>
          <w:spacing w:val="0"/>
          <w:sz w:val="32"/>
          <w:szCs w:val="32"/>
          <w:shd w:val="clear" w:fill="FFFFFF"/>
          <w:lang w:val="en-US" w:eastAsia="zh-CN"/>
        </w:rPr>
        <w:t>农</w:t>
      </w:r>
      <w:r>
        <w:rPr>
          <w:rFonts w:hint="default" w:ascii="Times New Roman" w:hAnsi="Times New Roman" w:eastAsia="方正仿宋_GBK" w:cs="Times New Roman"/>
          <w:i w:val="0"/>
          <w:iCs w:val="0"/>
          <w:caps w:val="0"/>
          <w:color w:val="auto"/>
          <w:spacing w:val="0"/>
          <w:sz w:val="32"/>
          <w:szCs w:val="32"/>
          <w:shd w:val="clear" w:fill="FFFFFF"/>
          <w:lang w:val="en-US" w:eastAsia="zh-CN"/>
        </w:rPr>
        <w:t>洽会”、“果蔬采摘节”、“农耕文化展演”“丰收节”，2022年举办了“海山情缘”“油菜花节”，通过各种节目对特色农业的展示，我区涌现出不少人才引进成功案例，如：柳林罐子沟刘志勇、下八庙万寿村张云生等领头雁均为我区做出巨大贡献，彰显了秦巴儿女的聪明才智。</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五、</w:t>
      </w:r>
      <w:r>
        <w:rPr>
          <w:rFonts w:hint="default" w:ascii="Times New Roman" w:hAnsi="Times New Roman" w:eastAsia="方正黑体_GBK" w:cs="Times New Roman"/>
          <w:color w:val="auto"/>
          <w:kern w:val="2"/>
          <w:sz w:val="32"/>
          <w:szCs w:val="32"/>
          <w:lang w:val="en-US" w:eastAsia="zh-CN" w:bidi="ar-SA"/>
        </w:rPr>
        <w:t>关于充分利用资源和优惠政策补偿特色产业做文章方面</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我区在《推动特色农业产业可持续发展巩固脱贫成效实施方案》中明确提出，鼓励各镇（街道）围绕“1个主导产业+1个特色产业”主攻方向，重点选择1-2个，最多不超过3个特色主导产业，以差异化发展为路径优化辖区特色发展版图，发展辖区优势产业。坚持引导资金、技术、人才、项目等要素向特色农业产业聚集，建设一批优势特色产业集群。同时为避免我区土地荒芜流失、浪费土地资源，我区还实施“小田改大田”“坡田改梯田”项目和印发了《巴中市恩阳区发展农业主导产业扶持办法》的通知，上述项目国家均明确资金补贴和我区主导产业扶持办法，为他们做大做强现代农业不断发展，提高产品品牌，成为现代农业经济主要力量提供了有力的后勤保障。</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六、</w:t>
      </w:r>
      <w:r>
        <w:rPr>
          <w:rFonts w:hint="default" w:ascii="Times New Roman" w:hAnsi="Times New Roman" w:eastAsia="方正黑体_GBK" w:cs="Times New Roman"/>
          <w:color w:val="auto"/>
          <w:kern w:val="2"/>
          <w:sz w:val="32"/>
          <w:szCs w:val="32"/>
          <w:lang w:val="en-US" w:eastAsia="zh-CN" w:bidi="ar-SA"/>
        </w:rPr>
        <w:t>关于促进特色农业产业大发展方面</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2022年，建成兴隆镇、花丛镇、尹家镇等优质粮油现代农业产业园区核心区1.3万亩，辐射全区发展优质粮油6万亩;建成有机果蔬现代农业产业园区核心区0.22万面(以双胜镇、柳林镇、下八庙镇为核心的芦笋0.07万亩;以双胜和雪山镇为核心的魔芋0.15万亩)，辐射全区发展有机果蔬0.43万亩;建成道地药材现代农业产业园区核心区0.2万亩(以渔溪镇和九镇等为核心)，辐射全区发展道地药材1.15万亩，在渔溪镇建成300平方米道地药材交易中心及仓储物流集配中心;蓝润生猪全产业链基本形成，新(改、扩)建生猪规模化养殖场示范点5个，新增产能5万头，建种养循环基地1个。争创省四星级现代农业产业园区1个、市级现代农业产业园区2个。培育培优龙头企业1家，招引农产品加工企业1家。</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七、</w:t>
      </w:r>
      <w:r>
        <w:rPr>
          <w:rFonts w:hint="default" w:ascii="Times New Roman" w:hAnsi="Times New Roman" w:eastAsia="方正黑体_GBK" w:cs="Times New Roman"/>
          <w:color w:val="auto"/>
          <w:kern w:val="2"/>
          <w:sz w:val="32"/>
          <w:szCs w:val="32"/>
          <w:lang w:val="en-US" w:eastAsia="zh-CN" w:bidi="ar-SA"/>
        </w:rPr>
        <w:t>关于振兴农村经济突显山村特色</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我区一直坚持融合发展理念，充分挖掘耕读文化、山水田园胡等资源，合理布局农耕文化展示区、体验区、教育区等功能区，完善并提升旅游设施，大力培育民宿，多次开展蔬菜采摘节、农民丰收节、农耕文化展演等活动，推动农业与休闲、康养、观光、旅游相融合，力创农旅生活“一条龙”的服务品格，把我区打造成成渝地区后花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感谢您对我们工作的支持</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关心，欢迎提出更多宝贵</w:t>
      </w:r>
      <w:r>
        <w:rPr>
          <w:rFonts w:hint="default" w:ascii="Times New Roman" w:hAnsi="Times New Roman" w:eastAsia="方正仿宋_GBK" w:cs="Times New Roman"/>
          <w:color w:val="auto"/>
          <w:sz w:val="32"/>
          <w:szCs w:val="32"/>
          <w:lang w:eastAsia="zh-CN"/>
        </w:rPr>
        <w:t>意见</w:t>
      </w:r>
      <w:r>
        <w:rPr>
          <w:rFonts w:hint="default" w:ascii="Times New Roman" w:hAnsi="Times New Roman" w:eastAsia="方正仿宋_GBK" w:cs="Times New Roman"/>
          <w:color w:val="auto"/>
          <w:sz w:val="32"/>
          <w:szCs w:val="32"/>
        </w:rPr>
        <w:t>。</w:t>
      </w:r>
    </w:p>
    <w:p>
      <w:pPr>
        <w:pStyle w:val="2"/>
        <w:rPr>
          <w:rFonts w:hint="default" w:ascii="Times New Roman" w:hAnsi="Times New Roman" w:eastAsia="方正仿宋_GBK" w:cs="Times New Roman"/>
          <w:color w:val="auto"/>
          <w:sz w:val="32"/>
          <w:szCs w:val="32"/>
        </w:rPr>
      </w:pP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巴中市恩阳区农业农村局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日</w:t>
      </w:r>
    </w:p>
    <w:p>
      <w:pPr>
        <w:pStyle w:val="2"/>
        <w:rPr>
          <w:rFonts w:hint="default" w:ascii="Times New Roman" w:hAnsi="Times New Roman" w:eastAsia="方正仿宋_GBK" w:cs="Times New Roman"/>
          <w:color w:val="auto"/>
          <w:sz w:val="32"/>
          <w:szCs w:val="32"/>
        </w:rPr>
      </w:pPr>
    </w:p>
    <w:p>
      <w:pPr>
        <w:pStyle w:val="4"/>
        <w:rPr>
          <w:rFonts w:hint="eastAsia"/>
          <w:lang w:val="en-US" w:eastAsia="zh-CN"/>
        </w:rPr>
      </w:pPr>
    </w:p>
    <w:p>
      <w:pPr>
        <w:pStyle w:val="4"/>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eastAsia="方正仿宋_GBK"/>
          <w:color w:val="auto"/>
          <w:lang w:val="en-US" w:eastAsia="zh-CN"/>
        </w:rPr>
      </w:pP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联系人：张恒；联系电话：</w:t>
      </w:r>
      <w:r>
        <w:rPr>
          <w:rFonts w:hint="eastAsia" w:ascii="Times New Roman" w:hAnsi="Times New Roman" w:eastAsia="方正仿宋_GBK" w:cs="Times New Roman"/>
          <w:color w:val="auto"/>
          <w:sz w:val="32"/>
          <w:szCs w:val="32"/>
          <w:lang w:val="en-US" w:eastAsia="zh-CN"/>
        </w:rPr>
        <w:t>15282719317）</w:t>
      </w:r>
    </w:p>
    <w:p>
      <w:pPr>
        <w:pStyle w:val="5"/>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line="576" w:lineRule="exact"/>
        <w:ind w:left="0" w:leftChars="0"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cs="Times New Roman"/>
          <w:color w:val="auto"/>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textAlignment w:val="auto"/>
        <w:rPr>
          <w:rFonts w:hint="default" w:ascii="Times New Roman" w:hAnsi="Times New Roman" w:eastAsia="方正仿宋_GBK" w:cs="Times New Roman"/>
          <w:color w:val="00000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textAlignment w:val="auto"/>
        <w:rPr>
          <w:rFonts w:hint="default" w:ascii="Times New Roman" w:hAnsi="Times New Roman" w:eastAsia="方正仿宋_GBK" w:cs="Times New Roman"/>
          <w:color w:val="00000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textAlignment w:val="auto"/>
        <w:rPr>
          <w:rFonts w:hint="default" w:ascii="Times New Roman" w:hAnsi="Times New Roman" w:eastAsia="方正仿宋_GBK" w:cs="Times New Roman"/>
          <w:color w:val="000000"/>
          <w:sz w:val="32"/>
          <w:szCs w:val="32"/>
          <w:lang w:val="en-US" w:eastAsia="zh-CN"/>
        </w:rPr>
      </w:pPr>
    </w:p>
    <w:p>
      <w:pPr>
        <w:pStyle w:val="13"/>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textAlignment w:val="auto"/>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pStyle w:val="13"/>
        <w:ind w:left="0" w:leftChars="0" w:firstLine="0" w:firstLineChars="0"/>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3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抄送：</w:t>
      </w:r>
      <w:r>
        <w:rPr>
          <w:rFonts w:hint="eastAsia" w:ascii="Times New Roman" w:hAnsi="Times New Roman" w:eastAsia="方正仿宋_GBK" w:cs="Times New Roman"/>
          <w:sz w:val="32"/>
          <w:szCs w:val="32"/>
          <w:lang w:val="en-US" w:eastAsia="zh-CN"/>
        </w:rPr>
        <w:t>区政协提案委</w:t>
      </w:r>
      <w:r>
        <w:rPr>
          <w:rFonts w:hint="default" w:ascii="Times New Roman" w:hAnsi="Times New Roman" w:eastAsia="方正仿宋_GBK" w:cs="Times New Roman"/>
          <w:sz w:val="32"/>
          <w:szCs w:val="32"/>
          <w:lang w:val="en-US" w:eastAsia="zh-CN"/>
        </w:rPr>
        <w:t>，区政府办，区目标绩效办</w:t>
      </w:r>
    </w:p>
    <w:sectPr>
      <w:footerReference r:id="rId4" w:type="default"/>
      <w:pgSz w:w="11906" w:h="16838"/>
      <w:pgMar w:top="2098" w:right="1531" w:bottom="1814" w:left="1531"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5yTcN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8"/>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61312;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wiRJeMQIAAGE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MIkSXjECAABhBAAADgAAAAAAAAABACAAAAAjAQAAZHJzL2Uyb0RvYy54bWxQ&#10;SwUGAAAAAAYABgBZAQAAxgUAAAAA&#10;">
              <v:fill on="f" focussize="0,0"/>
              <v:stroke on="f" weight="0.5pt"/>
              <v:imagedata o:title=""/>
              <o:lock v:ext="edit" aspectratio="f"/>
              <v:textbox inset="0mm,0mm,0mm,0mm" style="mso-fit-shape-to-text:t;">
                <w:txbxContent>
                  <w:p>
                    <w:pPr>
                      <w:pStyle w:val="8"/>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NWZkYTU4ZmU1NDY2MTJmOTdkMmYzYTQxNDIzNTkifQ=="/>
  </w:docVars>
  <w:rsids>
    <w:rsidRoot w:val="00000000"/>
    <w:rsid w:val="12FA7570"/>
    <w:rsid w:val="168455E3"/>
    <w:rsid w:val="22D27B05"/>
    <w:rsid w:val="249B16FD"/>
    <w:rsid w:val="41B11660"/>
    <w:rsid w:val="43116574"/>
    <w:rsid w:val="4DB95860"/>
    <w:rsid w:val="57044FDD"/>
    <w:rsid w:val="58A3271B"/>
    <w:rsid w:val="5AD71AE5"/>
    <w:rsid w:val="5F0E0117"/>
    <w:rsid w:val="64001524"/>
    <w:rsid w:val="6C6559E2"/>
    <w:rsid w:val="6CCB2C96"/>
    <w:rsid w:val="6DE813B2"/>
    <w:rsid w:val="6FCE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qFormat/>
    <w:uiPriority w:val="99"/>
    <w:pPr>
      <w:ind w:left="420" w:leftChars="200"/>
    </w:pPr>
  </w:style>
  <w:style w:type="paragraph" w:styleId="4">
    <w:name w:val="Body Text First Indent"/>
    <w:basedOn w:val="5"/>
    <w:next w:val="5"/>
    <w:qFormat/>
    <w:uiPriority w:val="99"/>
    <w:pPr>
      <w:ind w:firstLine="482" w:firstLineChars="200"/>
    </w:pPr>
    <w:rPr>
      <w:rFonts w:ascii="Times New Roman" w:hAnsi="Times New Roman"/>
    </w:rPr>
  </w:style>
  <w:style w:type="paragraph" w:styleId="5">
    <w:name w:val="Body Text"/>
    <w:basedOn w:val="1"/>
    <w:next w:val="6"/>
    <w:qFormat/>
    <w:uiPriority w:val="99"/>
    <w:rPr>
      <w:szCs w:val="20"/>
    </w:rPr>
  </w:style>
  <w:style w:type="paragraph" w:customStyle="1" w:styleId="6">
    <w:name w:val="引用1"/>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0" w:after="0" w:afterAutospacing="0"/>
      <w:ind w:left="0" w:right="0"/>
      <w:jc w:val="left"/>
    </w:pPr>
    <w:rPr>
      <w:kern w:val="0"/>
      <w:sz w:val="24"/>
      <w:lang w:val="en-US" w:eastAsia="zh-CN" w:bidi="ar"/>
    </w:rPr>
  </w:style>
  <w:style w:type="paragraph" w:customStyle="1" w:styleId="13">
    <w:name w:val="正文首行缩进1"/>
    <w:basedOn w:val="5"/>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2351</Words>
  <Characters>2402</Characters>
  <Lines>0</Lines>
  <Paragraphs>0</Paragraphs>
  <TotalTime>8</TotalTime>
  <ScaleCrop>false</ScaleCrop>
  <LinksUpToDate>false</LinksUpToDate>
  <CharactersWithSpaces>2419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2022-06-09T03:17:00Z</dcterms:created>
  <dc:creator>Administrator</dc:creator>
  <cp:lastModifiedBy>走心 小迷妹</cp:lastModifiedBy>
  <cp:lastPrinted>2022-08-11T10:02:11Z</cp:lastPrinted>
  <dcterms:modified xsi:type="dcterms:W3CDTF">2022-08-11T10:05:08Z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40211655C6DF419B85178DF3DB38663C</vt:lpwstr>
  </property>
</Properties>
</file>