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恩住建发〔2022〕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巴中市恩阳区住房和城乡建设局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关于做好2022年度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两案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办理工作的通知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机关各股室、下属各事业单位：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根据全区人大代表建议和政协委员提案（以下简称“两案”）办理工作专题会议及《关于做好2022年度人大代表建议、意见和政协委员提案办理工作的通知》（恩绩效函〔2022〕21号）要求，为切实做好我局2022年度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两案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一、高度重视，落实责任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认真办理“两案”是政府部门的法定职责，也是推进工作、依法行政的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需要。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为此我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局成立“两案”办理工作领导小组，领导小组负责对“两案”办理工作安排部署，检查指导，督促协调。各股室（单位）要高度重视，认真落实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股室（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下属单位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）主要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负责制和专人办理工作机制，要与业务工作同部署、同检查、同落实、同考核，确保按时按质完成办理任务。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二、规范程序，加快办理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针对代表、委员所提建议提案，我局结合股室（单位）的职能职责，对所承办的“两案”进行了责任分解，各承办科室（单位）要在收到交办的“两案”后，要逐件清点、核实和确认登记，建立办理台帐，尽可能办成实事，切实解决代表和委员关心的热点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（一）健全办理制度。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认真抓好调研、面商、审核和答复等工作环节，做到办理前调查研究、办理中见面沟通、办理后走访反馈，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全力保证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面商率、办结率、答复率、满意率均达100%。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（二）分类分项办理。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充分尊重代表和委员所提出的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务求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能够解决的，应集中力量尽快解决；对于因条件限制暂时难以解决的，应纳入工作计划并创造条件逐步解决；对因政策等原因难以办理的，做好解释说明，征得代表、委员的理解。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（三）坚持“开门”办理。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工作实际，深入调查研究，通过“走出去与请进来”相结合的方式，办前、办中和办后要分别与代表、委员见面（要建立“三见面”影像资料、会议记录），认真听取他们的建议意见。同时，承办人要通过深入基层、现场踏勘、召开座谈会、问卷调查等方式，掌握真实可信、针对性强的基础资料，增强办理的实效性和科学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（四）协同配合办理。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联合办理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主动与协办单位进行沟通或致函联系，共同研究解决“两案”所提问题的措施办法，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不得推诿扯皮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（五）规范回复文稿。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回复要一案一复，起草回复文稿须尊重事实、依法依规、准确全面，要态度诚恳、文字精炼、内容详尽，尽可能将所依据的政策法规资料一并附给代表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主次不分或答非所问。回复的公文格式要规范，公文要素要齐全，要按公文运转程序和要求审核审签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文。股室（单位）负责人要严格把关文稿质量并签字确认，签字后连同意见征求表（包括联名的代表和委员）送局主要领导审核后，再报送区政府分管领导审定出文。正式文件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原则上面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代表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委员（包括联名提出的代表和委员），后将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原件、正式回复文件、意见征求表一式四份送局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，由局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统一上报区人大办、区政府办、区政协办、区目督办并存档。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三、加强督查，按时办结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各承办股室（单位）要抓紧时间及时办理，防止工作滞后和延误。市、区人大代表建议和政协提案要在2022年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日前办理完毕并将办理的相关资料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报送至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，相关股室、下属单位要安排专人于每月23日前将“两案”办理推进情况报送至局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林圣乔同志处。各分管领导要加大对分管股室（单位）“两案”办理情况的督办力度，局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要切实抓好督办和催办工作，做好工作协调，确保按时按质完成“两案”办理任务。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918" w:leftChars="304" w:hanging="1280" w:hangingChars="400"/>
        <w:textAlignment w:val="auto"/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两案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办理工作领导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组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关于区三届人大一、二次会议第XX号建议答复的函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619" w:firstLineChars="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.关于区政协三届二次会议第XX号提案答复的函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619" w:firstLineChars="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.市政协五届一次会议立案提案办理责任分解表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813" w:leftChars="760" w:hanging="217" w:hangingChars="68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.区三届人大一、二次会议人大代表议案、建议办理责任分解表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619" w:firstLineChars="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.区政协三届二次会议立案提案办理责任分解表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619" w:firstLineChars="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.人大代表议案、建议办理情况征询意见表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619" w:firstLineChars="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.政协提案办理情况征询意见表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巴中市恩阳区住房和城乡建设局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2022年4月7日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附件1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两案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办理工作领导小组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办理工作，经研究决定，成立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区住建局“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办理工作领导小组，其组成人员如下：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鲜章博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二、副组长：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张清华  吴三仁  胡  堃  罗  鸣  赵  阳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刘兆波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吴金玲  张永平  李晓红  付  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  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雷  钧  吴高斌  罗玉成  杨庆东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黄  勇  谭  鹏  余国平  邹宗唐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领导小组下设办公室在局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信访股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刘兆波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同志任办公室主任，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具体负责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议题案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办理工作的组织协调、统筹安排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、汇总上报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和督促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等日常事务。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（承办单位全称红头）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XX〔XX〕XX号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关于区三届人大一、二次会议第XX号建议答复的函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XX代表（或XX等X位代表）：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您（或你们）提出的《X XXXXX》（第XX号建议）收悉，现答复如下：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（正文） X 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感谢您（或你们）对我们工作的支持和关心，欢迎提出更多宝贵意见。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 X XX X X XX X X 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XXXX年XX 月XX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（联系人：XXX；联系电话：XXX）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抄送：区人大人常委会人事代表工委，区政府办，区目标绩效办。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（承办单位全称红头）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XX〔XX〕XX号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1"/>
          <w:sz w:val="44"/>
          <w:szCs w:val="44"/>
        </w:rPr>
        <w:t>关于区政协三届二次会议第XX号提案答复的函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XX委员（或XX等X位委员）：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您（或你们）提出的《X XXXX XX》（第XX号提案）收悉，现答复如下：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（正文） X 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感谢您（或你们）对我们工作的支持和关心，欢迎提出更多宝贵意见。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XXX年XX 月XX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（联系人：XXX；联系电话：XXX）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抄送：区政协提案委，区政府办，区目标绩效办。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/>
          <w:kern w:val="0"/>
          <w:sz w:val="44"/>
          <w:szCs w:val="44"/>
        </w:rPr>
        <w:t>市政协五届一次会议立案提案办理责任分解表</w:t>
      </w:r>
    </w:p>
    <w:tbl>
      <w:tblPr>
        <w:tblStyle w:val="8"/>
        <w:tblpPr w:leftFromText="180" w:rightFromText="180" w:vertAnchor="text" w:horzAnchor="page" w:tblpXSpec="center" w:tblpY="189"/>
        <w:tblOverlap w:val="never"/>
        <w:tblW w:w="138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55"/>
        <w:gridCol w:w="3257"/>
        <w:gridCol w:w="1416"/>
        <w:gridCol w:w="1206"/>
        <w:gridCol w:w="1388"/>
        <w:gridCol w:w="1177"/>
        <w:gridCol w:w="1150"/>
        <w:gridCol w:w="897"/>
        <w:gridCol w:w="925"/>
        <w:gridCol w:w="1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提案号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并案号</w:t>
            </w:r>
          </w:p>
        </w:tc>
        <w:tc>
          <w:tcPr>
            <w:tcW w:w="3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提案标题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提案委员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8"/>
                <w:tab w:val="center" w:pos="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8"/>
                <w:szCs w:val="28"/>
              </w:rPr>
              <w:t>办 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  <w:t>责任领导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  <w:t>承办单位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  <w:t>责任人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  <w:t>协办单位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both"/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4"/>
                <w:szCs w:val="24"/>
              </w:rPr>
              <w:t>责任人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both"/>
              <w:rPr>
                <w:rFonts w:hint="default" w:ascii="Times New Roman" w:hAnsi="Times New Roman" w:eastAsia="方正楷体_GBK" w:cs="Times New Roman"/>
                <w:b/>
                <w:w w:val="8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w w:val="80"/>
                <w:sz w:val="22"/>
                <w:szCs w:val="22"/>
                <w:lang w:val="en-US" w:eastAsia="zh-CN"/>
              </w:rPr>
              <w:t>责任领导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承办股室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107" w:rightChars="-51"/>
              <w:jc w:val="center"/>
              <w:rPr>
                <w:rFonts w:hint="default" w:ascii="Times New Roman" w:hAnsi="Times New Roman" w:eastAsia="方正楷体_GBK" w:cs="Times New Roman"/>
                <w:b/>
                <w:w w:val="8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关于彻底解决我市城区交通拥堵的建议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张潇璘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向  荣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住建局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鲜章博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sz w:val="22"/>
                <w:szCs w:val="22"/>
                <w:lang w:val="en-US" w:eastAsia="zh-CN"/>
              </w:rPr>
              <w:t>谭  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关于加强城市“老改小区”后续管理的建议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向建明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向  荣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住建局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鲜章博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城建股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雷  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ind w:firstLine="640" w:firstLineChars="200"/>
        <w:jc w:val="center"/>
        <w:rPr>
          <w:rFonts w:hint="default" w:ascii="Times New Roman" w:hAnsi="Times New Roman" w:eastAsia="方正小标宋_GBK" w:cs="Times New Roman"/>
          <w:b/>
          <w:bCs/>
          <w:snapToGrid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rPr>
          <w:rFonts w:hint="default" w:ascii="Times New Roman" w:hAnsi="Times New Roman" w:eastAsia="方正小标宋_GBK" w:cs="Times New Roman"/>
          <w:bCs/>
          <w:snapToGrid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/>
          <w:kern w:val="0"/>
          <w:sz w:val="44"/>
          <w:szCs w:val="44"/>
        </w:rPr>
        <w:t>区三届人大一、二次会议人大代表议案、建议办理责任分解表</w:t>
      </w:r>
    </w:p>
    <w:tbl>
      <w:tblPr>
        <w:tblStyle w:val="8"/>
        <w:tblpPr w:leftFromText="180" w:rightFromText="180" w:vertAnchor="text" w:horzAnchor="page" w:tblpXSpec="center" w:tblpY="189"/>
        <w:tblOverlap w:val="never"/>
        <w:tblW w:w="14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575"/>
        <w:gridCol w:w="1070"/>
        <w:gridCol w:w="3463"/>
        <w:gridCol w:w="1247"/>
        <w:gridCol w:w="1374"/>
        <w:gridCol w:w="1108"/>
        <w:gridCol w:w="1346"/>
        <w:gridCol w:w="1032"/>
        <w:gridCol w:w="860"/>
        <w:gridCol w:w="1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建议号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并案号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建议人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事     由</w:t>
            </w:r>
          </w:p>
        </w:tc>
        <w:tc>
          <w:tcPr>
            <w:tcW w:w="8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办 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领导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承办股室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陈  智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关于加强新能源汽车配套设施建设的建议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区自规局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张晓华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7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7"/>
                <w:sz w:val="22"/>
                <w:szCs w:val="22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-17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7"/>
                <w:sz w:val="22"/>
                <w:szCs w:val="22"/>
                <w:lang w:val="en-US" w:eastAsia="zh-CN"/>
              </w:rPr>
              <w:t>谭  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杨天举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关于推进全区市政消火栓建设的建议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区消防救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大队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岳永康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区质安站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邹宗唐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陈建琼</w:t>
            </w:r>
          </w:p>
        </w:tc>
        <w:tc>
          <w:tcPr>
            <w:tcW w:w="3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关于改善司城街道居民饮用水的建议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圣泉水务公司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邓  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供排水股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吴高斌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firstLine="64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firstLine="64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firstLine="64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left="0" w:leftChars="0" w:firstLine="0" w:firstLineChars="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firstLine="640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0" w:lineRule="exact"/>
        <w:jc w:val="center"/>
        <w:rPr>
          <w:rFonts w:hint="default" w:ascii="Times New Roman" w:hAnsi="Times New Roman" w:eastAsia="方正小标宋_GBK" w:cs="Times New Roman"/>
          <w:bCs/>
          <w:snapToGrid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napToGrid/>
          <w:color w:val="000000"/>
          <w:kern w:val="0"/>
          <w:sz w:val="44"/>
          <w:szCs w:val="44"/>
        </w:rPr>
        <w:t>区政协三届二次会议立案提案办理责任务分解表</w:t>
      </w:r>
    </w:p>
    <w:tbl>
      <w:tblPr>
        <w:tblStyle w:val="9"/>
        <w:tblpPr w:leftFromText="180" w:rightFromText="180" w:vertAnchor="text" w:horzAnchor="page" w:tblpX="1191" w:tblpY="79"/>
        <w:tblOverlap w:val="never"/>
        <w:tblW w:w="14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65"/>
        <w:gridCol w:w="2381"/>
        <w:gridCol w:w="2411"/>
        <w:gridCol w:w="1304"/>
        <w:gridCol w:w="1247"/>
        <w:gridCol w:w="982"/>
        <w:gridCol w:w="1514"/>
        <w:gridCol w:w="981"/>
        <w:gridCol w:w="883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提案委员</w:t>
            </w:r>
          </w:p>
        </w:tc>
        <w:tc>
          <w:tcPr>
            <w:tcW w:w="24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提  案  标  题</w:t>
            </w:r>
          </w:p>
        </w:tc>
        <w:tc>
          <w:tcPr>
            <w:tcW w:w="83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8"/>
                <w:szCs w:val="28"/>
              </w:rPr>
              <w:t>办      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</w:tc>
        <w:tc>
          <w:tcPr>
            <w:tcW w:w="23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</w:tc>
        <w:tc>
          <w:tcPr>
            <w:tcW w:w="24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70" w:lineRule="exact"/>
              <w:jc w:val="center"/>
              <w:rPr>
                <w:rFonts w:hint="default" w:ascii="Times New Roman" w:hAnsi="Times New Roman" w:eastAsia="方正楷体_GBK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责任领导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责任领导</w:t>
            </w: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责任股室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邓博 李京 （文治联络组）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关于加快义阳山南路建设的建议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城建股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雷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喻欣（宣传联络组）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关于加强城中村规范治理的建议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区综合行政执法局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区环卫局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廖泓宇彭俊吉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村镇股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城建股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雷 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038-1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柯进 杨茜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（教科体联络组）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关于进一步完善恩阳中学及周边场地建设的建议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区公安分局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7"/>
                <w:sz w:val="24"/>
                <w:szCs w:val="24"/>
              </w:rPr>
              <w:t>区交通运输局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区综合行政执法局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谢  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罗长春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廖泓宇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城建股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雷 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038-2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王洪平（教科体联络组）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关于加快建设恩阳中学校门口空地建设的建议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城建股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雷 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王昕晔（宣传联络组）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关于增加恩阳城区公共座椅的建议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058-1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陈晓辉 郑贵琼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（经信联络组）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关于完善恩阳城区人行道红绿灯设置的建议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区公安分局</w:t>
            </w:r>
          </w:p>
        </w:tc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谢  进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058-2</w:t>
            </w: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杨富城 何邦泽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（民建联络组）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李春生（教科体联络组）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刘勇 何讴著 杨津（工商联络组）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关于增设巴恩阳快速大道与鸿锦茗城白玉路口信号灯的建议</w:t>
            </w:r>
          </w:p>
        </w:tc>
        <w:tc>
          <w:tcPr>
            <w:tcW w:w="1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张海（群团联络组）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关于加强恩阳城区无障碍环境建设推动残疾人无障碍出行的建议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区残联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谢茂林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谭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杨力张格尔（教科体联络组）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李明才（民盟民进九三学社知联会联络组）</w:t>
            </w:r>
          </w:p>
        </w:tc>
        <w:tc>
          <w:tcPr>
            <w:tcW w:w="2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关于优化城区公厕建设的建议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向  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区住建局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鲜章博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市政工程处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谭  鹏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70" w:lineRule="exact"/>
        <w:ind w:firstLine="640"/>
        <w:rPr>
          <w:rFonts w:hint="default" w:ascii="Times New Roman" w:hAnsi="Times New Roman" w:cs="Times New Roman"/>
          <w:sz w:val="32"/>
          <w:szCs w:val="32"/>
        </w:rPr>
        <w:sectPr>
          <w:footerReference r:id="rId4" w:type="default"/>
          <w:footerReference r:id="rId5" w:type="even"/>
          <w:pgSz w:w="16838" w:h="11906" w:orient="landscape"/>
          <w:pgMar w:top="1418" w:right="1418" w:bottom="1418" w:left="1418" w:header="851" w:footer="1304" w:gutter="0"/>
          <w:cols w:space="425" w:num="1"/>
          <w:docGrid w:type="lines" w:linePitch="579" w:charSpace="2167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人大代表议案、建议办理情况征询意见表</w:t>
      </w:r>
    </w:p>
    <w:tbl>
      <w:tblPr>
        <w:tblStyle w:val="8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7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答复件题目及案号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5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32"/>
                <w:szCs w:val="32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对办理情况是否满意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8" w:hRule="exact"/>
          <w:jc w:val="center"/>
        </w:trPr>
        <w:tc>
          <w:tcPr>
            <w:tcW w:w="95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32"/>
                <w:szCs w:val="32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对办理工作的建议和要求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</w:t>
      </w:r>
      <w:r>
        <w:rPr>
          <w:rFonts w:hint="default" w:ascii="Times New Roman" w:hAnsi="Times New Roman" w:eastAsia="方正黑体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3" w:beforeLines="50" w:after="163" w:afterLines="50" w:line="57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政协提案办理情况征询意见表</w:t>
      </w:r>
    </w:p>
    <w:tbl>
      <w:tblPr>
        <w:tblStyle w:val="8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7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委员姓名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答复件题目及案号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承办单位</w:t>
            </w:r>
          </w:p>
        </w:tc>
        <w:tc>
          <w:tcPr>
            <w:tcW w:w="7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  <w:jc w:val="center"/>
        </w:trPr>
        <w:tc>
          <w:tcPr>
            <w:tcW w:w="95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32"/>
                <w:szCs w:val="32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对办理情况是否满意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exact"/>
          <w:jc w:val="center"/>
        </w:trPr>
        <w:tc>
          <w:tcPr>
            <w:tcW w:w="95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TimesNewRomanPSMT" w:cs="Times New Roman"/>
                <w:kern w:val="0"/>
                <w:sz w:val="32"/>
                <w:szCs w:val="32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对办理工作的建议和要求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50" w:lineRule="exact"/>
              <w:ind w:right="-168" w:rightChars="-8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0554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428E"/>
    <w:rsid w:val="0365743D"/>
    <w:rsid w:val="14367145"/>
    <w:rsid w:val="314D51B4"/>
    <w:rsid w:val="3872553B"/>
    <w:rsid w:val="39CF4A42"/>
    <w:rsid w:val="3F012ED2"/>
    <w:rsid w:val="42AA428E"/>
    <w:rsid w:val="47485D05"/>
    <w:rsid w:val="47D602DC"/>
    <w:rsid w:val="4A2A2914"/>
    <w:rsid w:val="53AA1727"/>
    <w:rsid w:val="59365CCE"/>
    <w:rsid w:val="61E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2"/>
    <w:qFormat/>
    <w:uiPriority w:val="99"/>
    <w:pPr>
      <w:spacing w:after="0"/>
      <w:ind w:left="0" w:leftChars="0" w:firstLine="420" w:firstLineChars="200"/>
    </w:pPr>
    <w:rPr>
      <w:rFonts w:ascii="仿宋_GB2312" w:eastAsia="仿宋_GB2312"/>
      <w:bCs/>
      <w:sz w:val="32"/>
      <w:szCs w:val="32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3159</Words>
  <Characters>3360</Characters>
  <Lines>0</Lines>
  <Paragraphs>0</Paragraphs>
  <TotalTime>2</TotalTime>
  <ScaleCrop>false</ScaleCrop>
  <LinksUpToDate>false</LinksUpToDate>
  <CharactersWithSpaces>3655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2022-04-07T04:27:00Z</dcterms:created>
  <dc:creator> </dc:creator>
  <cp:lastModifiedBy>L.</cp:lastModifiedBy>
  <cp:lastPrinted>2022-04-11T08:22:00Z</cp:lastPrinted>
  <dcterms:modified xsi:type="dcterms:W3CDTF">2022-04-19T03:36:11Z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DBED27E3F85D4B4C8BC06E076B15EBF1</vt:lpwstr>
  </property>
</Properties>
</file>