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关于《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加强乡镇干部周转房保障的建议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》提案办理第三次面商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1" name="图片 1" descr="01微信图片_2022061510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微信图片_20220615103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2022年6月20</w:t>
      </w:r>
      <w:bookmarkStart w:id="0" w:name="_GoBack"/>
      <w:bookmarkEnd w:id="0"/>
      <w:r>
        <w:rPr>
          <w:rFonts w:hint="eastAsia"/>
          <w:lang w:val="en-US" w:eastAsia="zh-CN"/>
        </w:rPr>
        <w:t>日，区发改局固定资产投资股股长李志与《关于加强乡镇干部周转房保障的建议》提案委员赵冉进行第三次面商沟通，就办结情况和答复意见进行面商，赵冉委员比较满意。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D6"/>
    <w:rsid w:val="04C316C3"/>
    <w:rsid w:val="17AE47D6"/>
    <w:rsid w:val="1F3A7E73"/>
    <w:rsid w:val="356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2022-06-15T02:45:00Z</dcterms:created>
  <dc:creator>Administrator</dc:creator>
  <cp:lastModifiedBy>Administrator</cp:lastModifiedBy>
  <dcterms:modified xsi:type="dcterms:W3CDTF">2022-06-23T08:36:03Z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CA6D82026CC84BC2A498B6BD323A6705</vt:lpwstr>
  </property>
</Properties>
</file>