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eastAsia="zh-CN"/>
        </w:rPr>
        <w:t>区政协二届七次会议第</w:t>
      </w: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val="en-US" w:eastAsia="zh-CN"/>
        </w:rPr>
        <w:t>1号提案其他工作轨迹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3040" cy="3960495"/>
            <wp:effectExtent l="0" t="0" r="3810" b="1905"/>
            <wp:docPr id="1" name="图片 1" descr="3a6c4c0740364c68cb4e678a2c9b7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a6c4c0740364c68cb4e678a2c9b7d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出台优质粮油、芦笋、道地药材、魔芋产业推进方案和主导产业扶持办法，发展主导产业，助推乡村振兴。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2D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2021-08-27T10:44:45Z</dcterms:created>
  <dc:creator>Admin</dc:creator>
  <cp:lastModifiedBy>Admin</cp:lastModifiedBy>
  <dcterms:modified xsi:type="dcterms:W3CDTF">2021-08-27T10:48:17Z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50C6F35B25EE44B796AAD7A26CF4BF78</vt:lpwstr>
  </property>
</Properties>
</file>