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color w:val="000000"/>
          <w:w w:val="58"/>
          <w:sz w:val="80"/>
          <w:szCs w:val="80"/>
        </w:rPr>
      </w:pPr>
      <w:r>
        <w:rPr>
          <w:rFonts w:eastAsia="方正小标宋_GBK"/>
          <w:color w:val="FF0000"/>
          <w:spacing w:val="-20"/>
          <w:w w:val="60"/>
          <w:sz w:val="80"/>
          <w:szCs w:val="80"/>
        </w:rPr>
        <w:t>巴中市恩阳区民营经济工作领导小组办公室</w:t>
      </w:r>
    </w:p>
    <w:tbl>
      <w:tblPr>
        <w:tblStyle w:val="6"/>
        <w:tblW w:w="0" w:type="auto"/>
        <w:tblInd w:w="250" w:type="dxa"/>
        <w:tblBorders>
          <w:top w:val="thinThickSmallGap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thinThickSmallGap" w:color="FF0000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7" w:type="dxa"/>
            <w:noWrap w:val="0"/>
            <w:vAlign w:val="top"/>
          </w:tcPr>
          <w:p>
            <w:pPr>
              <w:spacing w:line="600" w:lineRule="exact"/>
              <w:ind w:left="-107" w:leftChars="-51"/>
              <w:jc w:val="righ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恩民经办函〔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eastAsia="方正仿宋_GBK"/>
                <w:color w:val="000000"/>
                <w:sz w:val="32"/>
                <w:szCs w:val="32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巴中市恩阳区民营经济工作领导小组办公室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方正小标宋简体"/>
          <w:color w:val="auto"/>
          <w:spacing w:val="-4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_GBK" w:cs="Times New Roman"/>
          <w:spacing w:val="0"/>
          <w:w w:val="96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pacing w:val="0"/>
          <w:w w:val="96"/>
          <w:sz w:val="44"/>
          <w:szCs w:val="44"/>
          <w:lang w:eastAsia="zh-CN"/>
        </w:rPr>
        <w:t>贯彻落实</w:t>
      </w:r>
      <w:r>
        <w:rPr>
          <w:rFonts w:hint="eastAsia" w:ascii="Times New Roman" w:hAnsi="Times New Roman" w:eastAsia="方正小标宋_GBK" w:cs="Times New Roman"/>
          <w:spacing w:val="0"/>
          <w:w w:val="96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Times New Roman"/>
          <w:spacing w:val="0"/>
          <w:w w:val="96"/>
          <w:sz w:val="44"/>
          <w:szCs w:val="44"/>
        </w:rPr>
        <w:t>《</w:t>
      </w:r>
      <w:r>
        <w:rPr>
          <w:rFonts w:hint="eastAsia" w:ascii="Times New Roman" w:hAnsi="Times New Roman" w:eastAsia="方正小标宋_GBK" w:cs="Times New Roman"/>
          <w:spacing w:val="0"/>
          <w:w w:val="96"/>
          <w:sz w:val="44"/>
          <w:szCs w:val="44"/>
          <w:lang w:eastAsia="zh-CN"/>
        </w:rPr>
        <w:t>四川省</w:t>
      </w:r>
      <w:r>
        <w:rPr>
          <w:rFonts w:hint="eastAsia" w:ascii="Times New Roman" w:hAnsi="Times New Roman" w:eastAsia="方正小标宋_GBK" w:cs="Times New Roman"/>
          <w:spacing w:val="0"/>
          <w:w w:val="96"/>
          <w:sz w:val="44"/>
          <w:szCs w:val="44"/>
        </w:rPr>
        <w:t>“十百千维权护航”行动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  <w:t>实施方案》的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eastAsia="zh-CN"/>
        </w:rPr>
        <w:t>函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auto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区纪委监委、区委统战部、区委政法委、区经济和信息化局、区司法局、区投资促进局、区工商联：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现将《关于印发四川省“十百千维权护航”行动实施方案的通知》（川民营办〔202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号）转发给你们，并结合我区实际，提出如下贯彻意见，请抓好贯彻落实。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一、加强组织领导。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相关部门要加强对“十百千维权护航”专项行动的组织领导，明确责任分工，落实专人负责，严格按照时间节点，全面摸排本辖区涉民营企业维权纠纷、案件底数，掌握存量，受理增量，建立台账，确保工作任务落实到位。该项工作纳入2021年度对民营经济综合评定目标考核内容。省级层面将对维权成绩突出的单位和个人予以通报表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1239520</wp:posOffset>
                </wp:positionV>
                <wp:extent cx="5615940" cy="0"/>
                <wp:effectExtent l="0" t="13970" r="3810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97.6pt;height:0pt;width:442.2pt;z-index:251659264;mso-width-relative:page;mso-height-relative:page;" filled="f" stroked="t" coordsize="21600,21600" o:gfxdata="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ZlOitcA&#10;AAAJAQAADwAAAAAAAAABACAAAAAiAAAAZHJzL2Rvd25yZXYueG1sUEsBAhQAFAAAAAgAh07iQMZJ&#10;f3DnAQAAsgMAAA4AAAAAAAAAAQAgAAAAJgEAAGRycy9lMm9Eb2MueG1sUEsFBgAAAAAGAAYAWQEA&#10;AH8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1188720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12825" y="9650730"/>
                          <a:ext cx="5615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93.6pt;height:0pt;width:442.2pt;z-index:251658240;mso-width-relative:page;mso-height-relative:page;" filled="f" stroked="t" coordsize="21600,21600" o:gfxdata="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l+01e0gAAAAgBAAAPAAAAAAAAAAEAIAAAACIAAABkcnMvZG93bnJldi54bWxQSwECFAAUAAAA&#10;CACHTuJAOSbROPQBAAC9AwAADgAAAAAAAAABACAAAAAhAQAAZHJzL2Uyb0RvYy54bWxQSwUGAAAA&#10;AAYABgBZAQAAhwUAAAAA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二、突出重点攻坚。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相关部门要严格按照《通知》要求，结合职能职责，重点聚焦司法不公、政府不守信践诺、部门不依法行政、干扰企业公平竞争、损害企业财产、侵害知识产权等损害营商环境的突出问题，找出“痛点”、消除“病灶”，力争11月底前，在区级层面办理30件涉民企权益案件, 切实为民营企业及经营者保驾护航。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三、强化信息沟通。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根据《通知》要求，请各相关部门于5月26日12:00前报送《全省涉民营企业维权投诉案件统计表》（见附件2）；11月1日前报送专项行动工作总结、《四川省“十百千维权护航行动”案件统计表》（见附件3）、典型案例推荐。（联系人：杨娟；电话：18080516988；报送邮箱：376414723@qq.com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附件：1.关于印发《四川省“十百千维权护航”行动实施方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附件：1.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案》的通知（川民营办〔2021〕2 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2.全省涉民营企业维权投诉案件统计表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3.四川省“十百千维权护航行动”案件统计表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巴中市恩阳区民营经济工作领导小组办公室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2021年5月21日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 w:bidi="ar"/>
        </w:rPr>
        <w:sectPr>
          <w:footerReference r:id="rId3" w:type="default"/>
          <w:pgSz w:w="11906" w:h="16838"/>
          <w:pgMar w:top="2098" w:right="1474" w:bottom="1984" w:left="1587" w:header="851" w:footer="1757" w:gutter="0"/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both"/>
        <w:textAlignment w:val="auto"/>
        <w:rPr>
          <w:rFonts w:hint="default" w:ascii="Times New Roman" w:hAnsi="Times New Roman" w:eastAsia="方正黑体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 w:bidi="ar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全省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民营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业维权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投诉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案件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00" w:lineRule="exact"/>
        <w:jc w:val="both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zh-CN"/>
        </w:rPr>
        <w:t xml:space="preserve">填报单位：      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zh-CN"/>
        </w:rPr>
        <w:t xml:space="preserve"> 填报日期：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2021年  月  日</w:t>
      </w:r>
    </w:p>
    <w:tbl>
      <w:tblPr>
        <w:tblStyle w:val="6"/>
        <w:tblW w:w="92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2061"/>
        <w:gridCol w:w="878"/>
        <w:gridCol w:w="1365"/>
        <w:gridCol w:w="1455"/>
        <w:gridCol w:w="1365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成效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40" w:firstLineChars="100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lang w:val="zh-CN"/>
              </w:rPr>
              <w:t>类别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（件）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涉案金额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（万元）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挽回损失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（万元）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稳定税收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（万元）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稳定就业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（人数）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案件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来源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自办案件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转办（移交）案件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类型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内资企业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外资企业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台资企业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侨资企业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个体工商户及其他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企业注册地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省内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省外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类别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农、林、牧、渔业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采矿业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制造业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电力、燃气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及水的生产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和供应业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建筑业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交通运输、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仓储和邮政业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信息运输、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计算及服务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和软件业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类别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批发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和餐饮业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住宿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和餐饮业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金融业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房地产业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租赁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和商贸服务业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科学研究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水利、环境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和公共设施管理业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居民服务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和其他服务业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教育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卫生、社会保障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和社会福利业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文化、体育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和娱乐业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其他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诉求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类型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司法判决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政府履约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（不含清欠）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机关、事业单位及大型企业清欠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行政行为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公平竞争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知识产权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企业纠纷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企业意见、建议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其他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办理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情况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正在处理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诉求终结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---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已办结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 w:eastAsia="zh-CN"/>
        </w:rPr>
        <w:t>填表说明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 w:eastAsia="zh-CN"/>
        </w:rPr>
        <w:t>案件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t>来源、企业类型、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 w:eastAsia="zh-CN"/>
        </w:rPr>
        <w:t>企业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t>注册地、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 w:eastAsia="zh-CN"/>
        </w:rPr>
        <w:t>行业类别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 w:eastAsia="zh-CN"/>
        </w:rPr>
        <w:t>诉求类型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 w:eastAsia="zh-CN"/>
        </w:rPr>
        <w:t>办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t>理情况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 w:eastAsia="zh-CN"/>
        </w:rPr>
        <w:t>六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t>项的总件数应一致。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 w:eastAsia="zh-CN"/>
        </w:rPr>
        <w:t>诉求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t>终结是指企业主动撤诉、走司法程序或者通过其他途径解决而终结。办结是指诉求办理完成。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t>本表未尽事项，可以自行列表填报。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sectPr>
          <w:footerReference r:id="rId4" w:type="default"/>
          <w:pgSz w:w="11906" w:h="16838"/>
          <w:pgMar w:top="2098" w:right="1474" w:bottom="1984" w:left="1587" w:header="851" w:footer="1757" w:gutter="0"/>
          <w:pgNumType w:fmt="decimal" w:start="2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t>案件数统计截止时间2021年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t>月3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both"/>
        <w:textAlignment w:val="auto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 w:bidi="ar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 w:bidi="ar"/>
        </w:rPr>
        <w:t>3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eastAsia="方正小标宋简体"/>
          <w:color w:val="00000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 w:bidi="ar"/>
        </w:rPr>
        <w:t>四川省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ar"/>
        </w:rPr>
        <w:t>“十百千维权护航行动”案件统计表</w:t>
      </w:r>
    </w:p>
    <w:p>
      <w:pPr>
        <w:widowControl/>
        <w:spacing w:line="560" w:lineRule="exact"/>
        <w:rPr>
          <w:rFonts w:hint="default" w:ascii="Times New Roman" w:hAnsi="Times New Roman" w:eastAsia="方正仿宋_GBK" w:cs="Times New Roman"/>
          <w:sz w:val="28"/>
          <w:szCs w:val="28"/>
          <w:lang w:val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zh-CN"/>
        </w:rPr>
        <w:t xml:space="preserve">填报单位： 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zh-CN"/>
        </w:rPr>
        <w:t xml:space="preserve">      填报日期：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2061"/>
        <w:gridCol w:w="878"/>
        <w:gridCol w:w="1365"/>
        <w:gridCol w:w="1455"/>
        <w:gridCol w:w="1365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40" w:lineRule="exact"/>
              <w:textAlignment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成效</w:t>
            </w:r>
          </w:p>
          <w:p>
            <w:pPr>
              <w:pStyle w:val="2"/>
              <w:spacing w:line="340" w:lineRule="exact"/>
              <w:ind w:left="0" w:leftChars="0" w:firstLine="240" w:firstLineChars="100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lang w:val="zh-CN"/>
              </w:rPr>
              <w:t>类别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数量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（件）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涉案金额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（万元）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挽回损失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（万元）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稳定税收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（万元）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稳定就业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（人数）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案件来源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自办案件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转办（移交）案件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企业类型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内资企业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外资企业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台资企业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侨资企业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个体工商户及其他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企业注册地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省内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省外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行业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类别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农、林、牧、渔业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采矿业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制造业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电力、燃气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及水的生产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和供应业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建筑业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交通运输、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仓储和邮政业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信息运输、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计算及服务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和软件业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行业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类别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批发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和餐饮业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住宿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和餐饮业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金融业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房地产业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租赁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和商贸服务业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科学研究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水利、环境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和公共设施管理业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居民服务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和其他服务业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教育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卫生、社会保障和社会福利业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文化、体育和娱乐业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其他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诉求类型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司法判决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政府履约（不含清欠）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机关、事业单位及大型企业清欠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行政行为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公平竞争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知识产权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  <w:t>其他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zh-CN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spacing w:line="20" w:lineRule="exact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spacing w:line="20" w:lineRule="exact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FangSong" w:hAnsi="FangSong" w:eastAsia="FangSong" w:cs="FangSong"/>
          <w:sz w:val="28"/>
          <w:szCs w:val="28"/>
          <w:lang w:val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zh-CN"/>
        </w:rPr>
        <w:t>注：案件数统计时间截止2021年10月31日。</w:t>
      </w:r>
    </w:p>
    <w:sectPr>
      <w:footerReference r:id="rId5" w:type="default"/>
      <w:pgSz w:w="11906" w:h="16838"/>
      <w:pgMar w:top="2098" w:right="1474" w:bottom="1985" w:left="1588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03ECB"/>
    <w:rsid w:val="077B0EE1"/>
    <w:rsid w:val="0A0B5D7C"/>
    <w:rsid w:val="0C69105E"/>
    <w:rsid w:val="11AE1113"/>
    <w:rsid w:val="1A803ECB"/>
    <w:rsid w:val="1C5404A5"/>
    <w:rsid w:val="232418A2"/>
    <w:rsid w:val="25F54870"/>
    <w:rsid w:val="29662E5F"/>
    <w:rsid w:val="29DE1749"/>
    <w:rsid w:val="2B12417E"/>
    <w:rsid w:val="35BC4FA4"/>
    <w:rsid w:val="36F5615A"/>
    <w:rsid w:val="3AC352E7"/>
    <w:rsid w:val="3ACF19A4"/>
    <w:rsid w:val="3ADA40A7"/>
    <w:rsid w:val="447A0B36"/>
    <w:rsid w:val="459C3D72"/>
    <w:rsid w:val="45C54EAB"/>
    <w:rsid w:val="47506B5C"/>
    <w:rsid w:val="4C247AB7"/>
    <w:rsid w:val="54364860"/>
    <w:rsid w:val="5A671088"/>
    <w:rsid w:val="5BAD6FD3"/>
    <w:rsid w:val="66E61977"/>
    <w:rsid w:val="6C013743"/>
    <w:rsid w:val="76AF260D"/>
    <w:rsid w:val="77AD2FE9"/>
    <w:rsid w:val="7C662D0B"/>
    <w:rsid w:val="7EC27582"/>
    <w:rsid w:val="7F4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2021-05-19T02:40:00Z</dcterms:created>
  <dc:creator>格知</dc:creator>
  <cp:lastModifiedBy>Administrator</cp:lastModifiedBy>
  <dcterms:modified xsi:type="dcterms:W3CDTF">2021-05-21T08:36:57Z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AADBCA650753422684D3CD22341B23F1</vt:lpwstr>
  </property>
</Properties>
</file>